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國民及學前教育署國民中小學慈輝班實施計畫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國小階段：因家庭變故、家境清寒或家庭功能不彰，以及因列為中低、低收入戶而有中輟之虞，經各學校相關輔導會議審議通過，且經監護人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依國前署計畫所述，</w:t>
      </w:r>
      <w:r w:rsidR="00AC60E6" w:rsidRPr="007C6B13">
        <w:rPr>
          <w:rFonts w:ascii="標楷體" w:eastAsia="標楷體" w:hAnsi="標楷體"/>
          <w:bCs/>
          <w:sz w:val="28"/>
          <w:szCs w:val="28"/>
        </w:rPr>
        <w:t>家庭功能不彰與遭逢變故定義如下：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以上日期遇假日順延至假日後第一個上班日，逾期不候。請將申請相關資料逕送中山高中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二吋半身照片，一張貼於申請表，一張浮貼（背面書寫學校及學生姓名）。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學生健康檢查記錄表影本（蓋與正本相符章）。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公私立醫院健康檢查報告。（檢查項目:</w:t>
      </w:r>
      <w:r w:rsidR="008242D5" w:rsidRPr="00AD43BD">
        <w:rPr>
          <w:rFonts w:ascii="標楷體" w:eastAsia="標楷體" w:hAnsi="標楷體" w:hint="eastAsia"/>
          <w:sz w:val="28"/>
          <w:szCs w:val="28"/>
        </w:rPr>
        <w:t>如附件七</w:t>
      </w:r>
      <w:r w:rsidRPr="00AD43BD">
        <w:rPr>
          <w:rFonts w:ascii="標楷體" w:eastAsia="標楷體" w:hAnsi="標楷體"/>
          <w:sz w:val="28"/>
          <w:szCs w:val="28"/>
        </w:rPr>
        <w:t>）</w:t>
      </w:r>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自114學年度起，七年級學生分配於中山高中國中部校本部不同班級，依教育部頒之課程綱要進行正常化教學。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學期間週一至周四一律住校(例假日除外)，週五放學返家。週末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就學期間（供）食、宿、制服全部免費。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寒暑假期間設有免費之課輔與技藝課程。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經復學輔導就讀小組複審會議審核申請結果未通過者回歸原校就讀。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學生至本校辦理報到時，應由原學校轉介單位派人偕同家長及學生到校。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加強對中輟復學學生、家庭失依或貧困單親學生之照顧及教育，使青少年身心健全發展。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確立慈輝班入班申請暨出班作業標準程序。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組織：基隆市政府(以下簡稱本府)委由中山高中大德分校成立「慈輝班復學輔導就讀小組」(以下簡稱本小組)，校長為召集人，分校主任為執行祕書，成員包括分校教總組、分校學輔組、教師代表、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人，負責慈輝班學生入班申請暨出班作業。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(一)學校導師或學輔人員提出，經校內輔導相關會議通過，並取得學生及家長（或監護人）同意。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已由申請學校召開會議，邀集學生輔導諮商中心或其他相關單位（社政、警政等），以兒少最佳利益為前提，共同研商學生需求及各單位相關配套措施，且評估有申請入班需求者。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(三)複審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1.召開本市復學輔導就讀小組-複審會議，申請學校之承辦人員皆應與會，如有必要得請監護人列席。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(3)原校輔導人員與中山高中大德分校教師共同研擬輔導措施。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(3)新生(國小應屆畢業生)原(國小)校及(國中學籍學校)輔導人員應與中山高中大德分校教師共同研擬輔導措施。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(3)國中各年級申請生原校輔導人員與中山高中大德分校教師共同研擬輔導措施。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學生不適應慈輝班生活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(3)申請程序：申請人填寫學生停宿申請書。</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(4)審核：由本小組核定5天以內的停宿處置。</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(2)申請原因：經本小組停宿處分2次並積極輔導後，第3次符合停宿標準時，由本小組提出出班申請。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基隆市立中山高級中學國中部大德分校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慈輝班學生行為評量與處理辦法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114.07.11慈輝班中輟復學輔導就讀小組會議通過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為建立慈輝班學生明確之行為規範，促進自律與成長，並依行為表現進行公平評量與適當處理，特訂定本辦法。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本辦法適用於基隆市立中山高級中學慈輝班在籍學生。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(一) 學生日常表現採正負點數評量制度，依行為事實給予優點或缺點紀錄，作為獎勵、輔導及處分之依據。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除違反本辦法第五點第二款規定外，所記之優點紀錄，可依情況抵銷缺點紀錄，並於每學年度進行點數歸零與重計。</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凡合於下列標準者以優點計，為提昇學生之榮譽感，每累計滿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(一)日常表現優良事項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1.上學時間經師長口頭表揚，或導師以聯絡簿稱許經查證屬實者，記優點5點。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2.師長交辦及規定事宜，表現良好，記優點5點。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3.整月份按時到校且並無遲到、早退之情形，記優點8點。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4.內務連續一個月整齊達到標準，記優點8點。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5.同一寢室一週內整體表現優良，全寢同學記優點5點，寢室長記優點6點。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6.熱心公益，主動服務他人完成群體事務，記優點5點。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1.代表學校參加各類活動競賽獲獎者，第一名(特優)記優點13點，第二名(優等)優點8點，第三名(甲等)優點6點，佳作優點3點。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2.段考(模考)成績獲原班級(班級人數須達20人以上)學生前三名者，第一名記優點8點，第二名優點6點，第三名優點5點。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3.段考(模考)成績獲慈輝班學生各年段前三名且達導師要求之成績標準者，第一名記優點8點，第二名優點6點，第三名優點5點。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4.段考(模考)成績進步者視進步程度記優點5點。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(一)一般違規事項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凡有以下情形者以缺點計，累計缺點滿80點，由慈輝班管理及輔導人員審查後辦理停宿。</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上學日未依規定時間到校亦未請假者，記缺點5點。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到達慈輝班後3C用品及含通訊、娛樂功能之物品未統一繳交保管者，記缺點5點。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破壞分校校內公物除賠償外，並視情節輕重，一般記缺點2點，嚴重者記缺點5點。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以上各款若經勸導後仍未改善，加記缺點3點。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凡有下列情形之一者，其懲處之累計缺點滿50點，由管理及輔導人員審查後辦理停宿。</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攜帶法定違禁品如菸、酒、打火機、刀械等，記缺點25點。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發生校園性侵害、性騷擾及霸凌行為經調查屬實者，記缺點50點。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(三)依前項規定經停宿處分2次並積極輔導後，第3次符合停宿標準時，召開校內臨時中輟復學輔導就讀小組會議審查出班及轉銜相關事宜。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六、本辦法經慈輝班復學輔導就讀小組會議通過後，陳請校長核定後公佈實施，修正時亦同。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8854" w14:textId="77777777" w:rsidR="00585F90" w:rsidRDefault="00585F90">
      <w:r>
        <w:separator/>
      </w:r>
    </w:p>
  </w:endnote>
  <w:endnote w:type="continuationSeparator" w:id="0">
    <w:p w14:paraId="14D5DE31" w14:textId="77777777" w:rsidR="00585F90" w:rsidRDefault="0058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CE90" w14:textId="77777777" w:rsidR="00585F90" w:rsidRDefault="00585F90">
      <w:r>
        <w:rPr>
          <w:color w:val="000000"/>
        </w:rPr>
        <w:separator/>
      </w:r>
    </w:p>
  </w:footnote>
  <w:footnote w:type="continuationSeparator" w:id="0">
    <w:p w14:paraId="02243247" w14:textId="77777777" w:rsidR="00585F90" w:rsidRDefault="00585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1"/>
  </w:num>
  <w:num w:numId="2">
    <w:abstractNumId w:val="9"/>
  </w:num>
  <w:num w:numId="3">
    <w:abstractNumId w:val="8"/>
  </w:num>
  <w:num w:numId="4">
    <w:abstractNumId w:val="4"/>
  </w:num>
  <w:num w:numId="5">
    <w:abstractNumId w:val="15"/>
  </w:num>
  <w:num w:numId="6">
    <w:abstractNumId w:val="1"/>
  </w:num>
  <w:num w:numId="7">
    <w:abstractNumId w:val="5"/>
  </w:num>
  <w:num w:numId="8">
    <w:abstractNumId w:val="0"/>
  </w:num>
  <w:num w:numId="9">
    <w:abstractNumId w:val="13"/>
  </w:num>
  <w:num w:numId="10">
    <w:abstractNumId w:val="12"/>
  </w:num>
  <w:num w:numId="11">
    <w:abstractNumId w:val="14"/>
  </w:num>
  <w:num w:numId="12">
    <w:abstractNumId w:val="10"/>
  </w:num>
  <w:num w:numId="13">
    <w:abstractNumId w:val="16"/>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452D2"/>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85F90"/>
    <w:rsid w:val="005C4110"/>
    <w:rsid w:val="00634A7D"/>
    <w:rsid w:val="00672225"/>
    <w:rsid w:val="00694FD5"/>
    <w:rsid w:val="006B60AD"/>
    <w:rsid w:val="006C37F1"/>
    <w:rsid w:val="006C5F27"/>
    <w:rsid w:val="006E1A4E"/>
    <w:rsid w:val="00723DBC"/>
    <w:rsid w:val="0073531A"/>
    <w:rsid w:val="00784552"/>
    <w:rsid w:val="007857E0"/>
    <w:rsid w:val="007C6B13"/>
    <w:rsid w:val="008242D5"/>
    <w:rsid w:val="00831498"/>
    <w:rsid w:val="00850556"/>
    <w:rsid w:val="0088361B"/>
    <w:rsid w:val="008A096D"/>
    <w:rsid w:val="008B0BC4"/>
    <w:rsid w:val="008E352B"/>
    <w:rsid w:val="008E5544"/>
    <w:rsid w:val="0096269D"/>
    <w:rsid w:val="00A103F0"/>
    <w:rsid w:val="00A32045"/>
    <w:rsid w:val="00A34075"/>
    <w:rsid w:val="00A53B1F"/>
    <w:rsid w:val="00AC60E6"/>
    <w:rsid w:val="00AD43BD"/>
    <w:rsid w:val="00AE3379"/>
    <w:rsid w:val="00B41C7F"/>
    <w:rsid w:val="00BA3637"/>
    <w:rsid w:val="00BA4020"/>
    <w:rsid w:val="00C23BC9"/>
    <w:rsid w:val="00C36A76"/>
    <w:rsid w:val="00D56056"/>
    <w:rsid w:val="00E45689"/>
    <w:rsid w:val="00E52C99"/>
    <w:rsid w:val="00EB21B1"/>
    <w:rsid w:val="00EB6112"/>
    <w:rsid w:val="00ED74FF"/>
    <w:rsid w:val="00F01A9D"/>
    <w:rsid w:val="00F1115A"/>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Props1.xml><?xml version="1.0" encoding="utf-8"?>
<ds:datastoreItem xmlns:ds="http://schemas.openxmlformats.org/officeDocument/2006/customXml" ds:itemID="{D79C9B78-8C0B-45E8-AE0F-449CA916BD0E}">
  <ds:schemaRefs>
    <ds:schemaRef ds:uri="http://schemas.microsoft.com/sharepoint/v3/contenttype/forms"/>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2025-10-14T10:06:00Z</dcterms:created>
  <dcterms:modified xsi:type="dcterms:W3CDTF">2025-10-14T10:06:00Z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